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64" w:rsidRDefault="002C3464" w:rsidP="002C3464">
      <w:pPr>
        <w:shd w:val="clear" w:color="auto" w:fill="FFFFFF"/>
        <w:spacing w:line="240" w:lineRule="auto"/>
        <w:jc w:val="center"/>
        <w:textAlignment w:val="baseline"/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NIEZBĘDNIK NAUKOWY - KURS KOMPETENCJI BADAWCZYCH</w:t>
      </w:r>
    </w:p>
    <w:p w:rsidR="00480A21" w:rsidRPr="002C3464" w:rsidRDefault="00480A21" w:rsidP="00480A21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</w:pPr>
      <w:bookmarkStart w:id="0" w:name="_GoBack"/>
      <w:r w:rsidRPr="002C3464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Szkolenia dla osób łączących studia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na UAM </w:t>
      </w:r>
      <w:r w:rsidRPr="002C3464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z działalnością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naukowo - badawczą. O</w:t>
      </w:r>
      <w:r w:rsidRPr="002C3464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ferta adresowana jest do osób, które realizują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(lub realizowały w trakcie studiów na naszej uczelni) </w:t>
      </w:r>
      <w:r w:rsidRPr="002C3464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badania w ramach grantów własnych (np. finansowanych z projektów ID-UB) oraz do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studentek i studentów</w:t>
      </w:r>
      <w:r w:rsidRPr="002C3464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 zaangażowanych w prace w zespołach grantowych. </w:t>
      </w:r>
    </w:p>
    <w:p w:rsidR="00480A21" w:rsidRDefault="00480A21" w:rsidP="00480A21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</w:pP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Link do rejestracji </w:t>
      </w:r>
      <w:r w:rsidRPr="002D5386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(link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aktywacyjny </w:t>
      </w:r>
      <w:r w:rsidRPr="002D5386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 xml:space="preserve">czynny będzie </w:t>
      </w:r>
      <w:r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od</w: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 03.03 (od godz. 8.00) </w:t>
      </w:r>
      <w:r w:rsidRPr="00AA200A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do</w: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 10.03 (do godz. 23.59). </w:t>
      </w:r>
      <w:r w:rsidRPr="002D5386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Liczba miejsc w kursie</w: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 – 25 os.</w:t>
      </w:r>
      <w:r w:rsidRPr="002D5386">
        <w:rPr>
          <w:rFonts w:ascii="Aptos" w:eastAsia="Times New Roman" w:hAnsi="Aptos" w:cs="Calibri"/>
          <w:bCs/>
          <w:color w:val="000000"/>
          <w:bdr w:val="none" w:sz="0" w:space="0" w:color="auto" w:frame="1"/>
          <w:lang w:eastAsia="pl-PL"/>
        </w:rPr>
        <w:t>)</w:t>
      </w:r>
    </w:p>
    <w:bookmarkEnd w:id="0"/>
    <w:p w:rsidR="00674B4D" w:rsidRDefault="002D5386" w:rsidP="002C3464">
      <w:pPr>
        <w:shd w:val="clear" w:color="auto" w:fill="FFFFFF"/>
        <w:spacing w:line="240" w:lineRule="auto"/>
        <w:textAlignment w:val="baseline"/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fldChar w:fldCharType="begin"/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instrText xml:space="preserve"> HYPERLINK "</w:instrText>
      </w:r>
      <w:r w:rsidRPr="002D5386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instrText>https://forms.office.com/e/Dy0DgaFqqq</w:instrTex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instrText xml:space="preserve">" </w:instrTex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fldChar w:fldCharType="separate"/>
      </w:r>
      <w:r w:rsidRPr="00C3738D">
        <w:rPr>
          <w:rStyle w:val="Hipercze"/>
          <w:rFonts w:ascii="Aptos" w:eastAsia="Times New Roman" w:hAnsi="Aptos" w:cs="Calibri"/>
          <w:b/>
          <w:bCs/>
          <w:bdr w:val="none" w:sz="0" w:space="0" w:color="auto" w:frame="1"/>
          <w:lang w:eastAsia="pl-PL"/>
        </w:rPr>
        <w:t>https://forms.office.com/e/Dy0DgaFqqq</w:t>
      </w: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fldChar w:fldCharType="end"/>
      </w:r>
      <w:r w:rsidR="00674B4D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 </w:t>
      </w:r>
    </w:p>
    <w:p w:rsidR="002C3464" w:rsidRPr="002C3464" w:rsidRDefault="00674B4D" w:rsidP="002C3464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 xml:space="preserve">SZCZEGÓŁOWY </w:t>
      </w:r>
      <w:r w:rsidR="002C3464"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OPIS PROJEKTU</w:t>
      </w:r>
    </w:p>
    <w:p w:rsidR="002C3464" w:rsidRPr="002C3464" w:rsidRDefault="002C3464" w:rsidP="002C346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Tytuł projektu: Niezbędnik naukowy - kurs kompetencji badawczych.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Cel projektu: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 szkolenie stanowi część inicjatywy </w:t>
      </w:r>
      <w:r w:rsidRPr="002C3464">
        <w:rPr>
          <w:rFonts w:ascii="Aptos" w:eastAsia="Times New Roman" w:hAnsi="Aptos" w:cs="Calibri"/>
          <w:i/>
          <w:iCs/>
          <w:color w:val="000000"/>
          <w:bdr w:val="none" w:sz="0" w:space="0" w:color="auto" w:frame="1"/>
          <w:lang w:eastAsia="pl-PL"/>
        </w:rPr>
        <w:t>Studencki Hub Naukowo-Badawczy 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i jest adresowane do osób łączących studia z aktywnością badawczą (projekty własne, uczestnictwo w badaniach grantowych). Głównym cel kursu jest wyposażenie osób studiujących w kompetencje niezbędne do prowadzenia </w:t>
      </w:r>
      <w:proofErr w:type="spellStart"/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szerokozakresowej</w:t>
      </w:r>
      <w:proofErr w:type="spellEnd"/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 działalności akademickiej, uwzględniającej kwestie związane z metodologią prowadzenia badań, technikami komunikacyjnymi i aspektami prawno-etycznymi.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--------------------------------------------------------------------------------------------------------------------------------------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Sposób realizacji: </w:t>
      </w:r>
      <w:r w:rsidR="008F6C2C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w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 roku </w:t>
      </w:r>
      <w:proofErr w:type="spellStart"/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ak</w:t>
      </w:r>
      <w:proofErr w:type="spellEnd"/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. 24/25 planowane są dwie tury szkoleniowe adresowane do osób studiujących na studiach I-go i II-go stopnia lub w ramach jednolitych studiów magisterskich prowadzonych na UAM.</w:t>
      </w:r>
      <w:r w:rsidR="008F6C2C">
        <w:rPr>
          <w:rFonts w:ascii="Calibri" w:eastAsia="Times New Roman" w:hAnsi="Calibri" w:cs="Calibri"/>
          <w:color w:val="242424"/>
          <w:sz w:val="20"/>
          <w:szCs w:val="20"/>
          <w:lang w:eastAsia="pl-PL"/>
        </w:rPr>
        <w:t xml:space="preserve"> </w:t>
      </w:r>
      <w:r w:rsidR="008F6C2C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 xml:space="preserve">Zajęcia </w:t>
      </w:r>
      <w:r w:rsidRPr="002C3464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>odbywać się będą na Kampusie Ogrody, ul. Szamarzewskiego 89c, s. 215. 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>Terminy: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 </w:t>
      </w:r>
      <w:r w:rsidRPr="002C3464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>tura I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  -</w:t>
      </w: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11 kwietnia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, </w:t>
      </w:r>
      <w:r w:rsidRPr="002C3464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>tura II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 - </w:t>
      </w: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6 czerwca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 xml:space="preserve"> w godz. </w:t>
      </w:r>
      <w:r w:rsidRPr="002C3464">
        <w:rPr>
          <w:rFonts w:ascii="Aptos" w:eastAsia="Times New Roman" w:hAnsi="Aptos" w:cs="Calibri"/>
          <w:b/>
          <w:color w:val="000000"/>
          <w:bdr w:val="none" w:sz="0" w:space="0" w:color="auto" w:frame="1"/>
          <w:lang w:eastAsia="pl-PL"/>
        </w:rPr>
        <w:t>8.00 – 17.45 (z przerwami)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, z wykorzystaniem bazy lokalowej i infrastruktury UAM. Szkolenie składa się z sześciu modułów i oferowane jest w dwóch częściach w ramach jednego roku akademickiego. Moduły specjalistyczne prowadzić będą osoby pracujące na UAM, posiadające dorobek dydaktyczny, szkoleniowy lub badawczy związany z treścią danego kursu.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Forma realizacji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 – metoda kursowa (zajęcia stacjonarne z możliwością rejestracji zajęć).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Liczba uczestników szkolenia</w:t>
      </w: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 – ok. 25 osób w edycji.</w:t>
      </w:r>
    </w:p>
    <w:p w:rsidR="002C3464" w:rsidRPr="002C3464" w:rsidRDefault="002C3464" w:rsidP="002C3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color w:val="000000"/>
          <w:bdr w:val="none" w:sz="0" w:space="0" w:color="auto" w:frame="1"/>
          <w:lang w:eastAsia="pl-PL"/>
        </w:rPr>
        <w:t>--------------------------------------------------------------------------------------------------------------------------------------</w:t>
      </w:r>
    </w:p>
    <w:p w:rsidR="002C3464" w:rsidRPr="002C3464" w:rsidRDefault="002C3464" w:rsidP="002C3464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Plan zajęć: Tura I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680"/>
        <w:gridCol w:w="993"/>
        <w:gridCol w:w="1280"/>
      </w:tblGrid>
      <w:tr w:rsidR="002C3464" w:rsidRPr="002C3464" w:rsidTr="00674B4D">
        <w:trPr>
          <w:trHeight w:val="555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Tytuł modułu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Prowadzący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Godziny zajęć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Liczba godzin</w:t>
            </w:r>
          </w:p>
        </w:tc>
      </w:tr>
      <w:tr w:rsidR="002C3464" w:rsidRPr="002C3464" w:rsidTr="00674B4D">
        <w:trPr>
          <w:trHeight w:val="56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I. Podstawowe techniki AI w pracy naukowej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dr inż. Marcin </w:t>
            </w:r>
            <w:proofErr w:type="spellStart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>Jukiewicz</w:t>
            </w:r>
            <w:proofErr w:type="spellEnd"/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8.00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4 h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1h=45 min.)</w:t>
            </w:r>
          </w:p>
        </w:tc>
      </w:tr>
      <w:tr w:rsidR="002C3464" w:rsidRPr="002C3464" w:rsidTr="00674B4D">
        <w:trPr>
          <w:trHeight w:val="616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II. Aspekty prawne: Własność intelektualna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dr Paweł Mazur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11.15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14.15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4 h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 </w:t>
            </w:r>
          </w:p>
        </w:tc>
      </w:tr>
      <w:tr w:rsidR="002C3464" w:rsidRPr="002C3464" w:rsidTr="00674B4D">
        <w:trPr>
          <w:trHeight w:val="49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III. Emisja głosu, podstawowe zasady wystąpień publicznych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mgr Ewa </w:t>
            </w:r>
            <w:proofErr w:type="spellStart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>Kolanus</w:t>
            </w:r>
            <w:proofErr w:type="spellEnd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14.45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17.45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4 h</w:t>
            </w:r>
          </w:p>
        </w:tc>
      </w:tr>
    </w:tbl>
    <w:p w:rsidR="002C3464" w:rsidRPr="002C3464" w:rsidRDefault="002C3464" w:rsidP="00674B4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242424"/>
          <w:sz w:val="20"/>
          <w:szCs w:val="20"/>
          <w:lang w:eastAsia="pl-PL"/>
        </w:rPr>
      </w:pPr>
      <w:r w:rsidRPr="002C3464">
        <w:rPr>
          <w:rFonts w:ascii="Aptos" w:eastAsia="Times New Roman" w:hAnsi="Aptos" w:cs="Calibri"/>
          <w:b/>
          <w:bCs/>
          <w:color w:val="000000"/>
          <w:bdr w:val="none" w:sz="0" w:space="0" w:color="auto" w:frame="1"/>
          <w:lang w:eastAsia="pl-PL"/>
        </w:rPr>
        <w:t> Tura II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714"/>
        <w:gridCol w:w="993"/>
        <w:gridCol w:w="1280"/>
      </w:tblGrid>
      <w:tr w:rsidR="002C3464" w:rsidRPr="002C3464" w:rsidTr="00674B4D">
        <w:trPr>
          <w:trHeight w:val="74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Tytuł modułu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Prowadzący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Godziny zajęć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Liczba godzin</w:t>
            </w:r>
          </w:p>
        </w:tc>
      </w:tr>
      <w:tr w:rsidR="002C3464" w:rsidRPr="002C3464" w:rsidTr="00674B4D">
        <w:trPr>
          <w:trHeight w:val="49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IV. Przygotowywanie i obsługa aplikacji grantowych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>dr Anna Stachowiak-</w:t>
            </w:r>
            <w:proofErr w:type="spellStart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>Szrejbrowska</w:t>
            </w:r>
            <w:proofErr w:type="spellEnd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8.00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4 h</w:t>
            </w:r>
          </w:p>
        </w:tc>
      </w:tr>
      <w:tr w:rsidR="002C3464" w:rsidRPr="002C3464" w:rsidTr="00674B4D">
        <w:trPr>
          <w:trHeight w:val="7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8F6C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V. Niezbędnik metodologiczny z elementami etyki badań naukowych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dr Jarosław Boruszewski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11.15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14.15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 xml:space="preserve">4 </w:t>
            </w:r>
            <w:r w:rsidR="00674B4D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H</w:t>
            </w:r>
          </w:p>
        </w:tc>
      </w:tr>
      <w:tr w:rsidR="002C3464" w:rsidRPr="002C3464" w:rsidTr="00674B4D">
        <w:trPr>
          <w:trHeight w:val="5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lastRenderedPageBreak/>
              <w:t>VI. Tworzenie prezentacji multimedialnych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prof. Sławomir </w:t>
            </w:r>
            <w:proofErr w:type="spellStart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>Leciejewski</w:t>
            </w:r>
            <w:proofErr w:type="spellEnd"/>
            <w:r w:rsidRPr="002C3464">
              <w:rPr>
                <w:rFonts w:ascii="Aptos" w:eastAsia="Times New Roman" w:hAnsi="Aptos" w:cs="Calibri"/>
                <w:color w:val="000000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14.45</w:t>
            </w:r>
          </w:p>
          <w:p w:rsidR="002C3464" w:rsidRPr="002C3464" w:rsidRDefault="002C3464" w:rsidP="002C34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17.45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464" w:rsidRPr="002C3464" w:rsidRDefault="002C3464" w:rsidP="002C3464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242424"/>
                <w:sz w:val="20"/>
                <w:szCs w:val="20"/>
                <w:lang w:eastAsia="pl-PL"/>
              </w:rPr>
            </w:pPr>
            <w:r w:rsidRPr="002C3464">
              <w:rPr>
                <w:rFonts w:ascii="Aptos" w:eastAsia="Times New Roman" w:hAnsi="Aptos" w:cs="Calibri"/>
                <w:b/>
                <w:bCs/>
                <w:color w:val="000000"/>
                <w:bdr w:val="none" w:sz="0" w:space="0" w:color="auto" w:frame="1"/>
                <w:lang w:eastAsia="pl-PL"/>
              </w:rPr>
              <w:t>4 h</w:t>
            </w:r>
          </w:p>
        </w:tc>
      </w:tr>
    </w:tbl>
    <w:p w:rsidR="001B49F8" w:rsidRDefault="001B49F8"/>
    <w:sectPr w:rsidR="001B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64"/>
    <w:rsid w:val="001B49F8"/>
    <w:rsid w:val="002C3464"/>
    <w:rsid w:val="002D5386"/>
    <w:rsid w:val="00480A21"/>
    <w:rsid w:val="00674B4D"/>
    <w:rsid w:val="008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CEB1-EDED-4BB5-A23B-A0520DB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B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4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1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0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2025-02-26T13:36:00Z</dcterms:created>
  <dcterms:modified xsi:type="dcterms:W3CDTF">2025-02-27T08:50:00Z</dcterms:modified>
</cp:coreProperties>
</file>